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BC30" w14:textId="77777777" w:rsidR="0018651A" w:rsidRPr="0018651A" w:rsidRDefault="0018651A" w:rsidP="0018651A">
      <w:pPr>
        <w:widowControl w:val="0"/>
        <w:rPr>
          <w:rFonts w:ascii="Helvetica" w:hAnsi="Helvetica" w:cs="Helvetica"/>
          <w:b/>
          <w:bCs/>
          <w:sz w:val="22"/>
          <w:szCs w:val="22"/>
          <w:u w:val="single"/>
          <w14:ligatures w14:val="none"/>
        </w:rPr>
      </w:pPr>
      <w:r w:rsidRPr="0018651A">
        <w:rPr>
          <w:rFonts w:ascii="Helvetica" w:hAnsi="Helvetica" w:cs="Helvetica"/>
          <w:b/>
          <w:bCs/>
          <w:sz w:val="22"/>
          <w:szCs w:val="22"/>
          <w:u w:val="single"/>
          <w14:ligatures w14:val="none"/>
        </w:rPr>
        <w:t>Software Checklist Notes</w:t>
      </w:r>
    </w:p>
    <w:p w14:paraId="71217D1C" w14:textId="419DB1E7" w:rsidR="007B3C24" w:rsidRDefault="007B3C24" w:rsidP="002F048A">
      <w:pPr>
        <w:pStyle w:val="ListParagraph"/>
        <w:widowControl w:val="0"/>
        <w:numPr>
          <w:ilvl w:val="0"/>
          <w:numId w:val="3"/>
        </w:numPr>
        <w:spacing w:line="286" w:lineRule="auto"/>
        <w:rPr>
          <w:rFonts w:ascii="Helvetica" w:hAnsi="Helvetica" w:cs="Helvetica"/>
          <w:sz w:val="22"/>
          <w:szCs w:val="22"/>
          <w14:ligatures w14:val="none"/>
        </w:rPr>
      </w:pPr>
      <w:r w:rsidRPr="002F048A">
        <w:rPr>
          <w:rFonts w:ascii="Helvetica" w:hAnsi="Helvetica" w:cs="Helvetica"/>
          <w:sz w:val="22"/>
          <w:szCs w:val="22"/>
          <w14:ligatures w14:val="none"/>
        </w:rPr>
        <w:t>The checklist must be completed by an employee of your organization, who is knowledgeable of the software products.</w:t>
      </w:r>
    </w:p>
    <w:p w14:paraId="73BE6A84" w14:textId="77777777" w:rsidR="002F048A" w:rsidRPr="002F048A" w:rsidRDefault="002F048A" w:rsidP="002F048A">
      <w:pPr>
        <w:pStyle w:val="ListParagraph"/>
        <w:widowControl w:val="0"/>
        <w:spacing w:line="286" w:lineRule="auto"/>
        <w:rPr>
          <w:rFonts w:ascii="Helvetica" w:hAnsi="Helvetica" w:cs="Helvetica"/>
          <w:sz w:val="22"/>
          <w:szCs w:val="22"/>
          <w14:ligatures w14:val="none"/>
        </w:rPr>
      </w:pPr>
    </w:p>
    <w:p w14:paraId="6996B50F" w14:textId="2B6969EC" w:rsidR="00087E78" w:rsidRPr="002F048A" w:rsidRDefault="00087E78" w:rsidP="002F048A">
      <w:pPr>
        <w:pStyle w:val="ListParagraph"/>
        <w:widowControl w:val="0"/>
        <w:numPr>
          <w:ilvl w:val="0"/>
          <w:numId w:val="3"/>
        </w:numPr>
        <w:spacing w:line="286" w:lineRule="auto"/>
        <w:rPr>
          <w:rFonts w:ascii="Helvetica" w:hAnsi="Helvetica" w:cs="Helvetica"/>
          <w:sz w:val="22"/>
          <w:szCs w:val="22"/>
          <w14:ligatures w14:val="none"/>
        </w:rPr>
      </w:pPr>
      <w:r w:rsidRPr="002F048A">
        <w:rPr>
          <w:rFonts w:ascii="Helvetica" w:hAnsi="Helvetica" w:cs="Helvetica"/>
          <w:sz w:val="22"/>
          <w:szCs w:val="22"/>
          <w14:ligatures w14:val="none"/>
        </w:rPr>
        <w:t>List any software applications</w:t>
      </w:r>
      <w:r w:rsidR="002F048A" w:rsidRPr="002F048A">
        <w:rPr>
          <w:rFonts w:ascii="Helvetica" w:hAnsi="Helvetica" w:cs="Helvetica"/>
          <w:sz w:val="22"/>
          <w:szCs w:val="22"/>
          <w14:ligatures w14:val="none"/>
        </w:rPr>
        <w:t>, along with hardware products with embedded software.</w:t>
      </w:r>
    </w:p>
    <w:p w14:paraId="4E059BD9" w14:textId="17DE0438" w:rsidR="002F048A" w:rsidRDefault="002F048A" w:rsidP="002F048A">
      <w:pPr>
        <w:pStyle w:val="ListParagraph"/>
        <w:widowControl w:val="0"/>
        <w:numPr>
          <w:ilvl w:val="1"/>
          <w:numId w:val="3"/>
        </w:numPr>
        <w:spacing w:line="286" w:lineRule="auto"/>
        <w:rPr>
          <w:rFonts w:ascii="Helvetica" w:hAnsi="Helvetica" w:cs="Helvetica"/>
          <w:sz w:val="22"/>
          <w:szCs w:val="22"/>
          <w14:ligatures w14:val="none"/>
        </w:rPr>
      </w:pPr>
      <w:r w:rsidRPr="002F048A">
        <w:rPr>
          <w:rFonts w:ascii="Helvetica" w:hAnsi="Helvetica" w:cs="Helvetica"/>
          <w:sz w:val="22"/>
          <w:szCs w:val="22"/>
          <w14:ligatures w14:val="none"/>
        </w:rPr>
        <w:t>Not all software products are required to be listed on the checklist. Do not include applications such as Windows, iOS, and Adobe. Consult with DDC to determine if an application or product should be listed on the checklist.</w:t>
      </w:r>
    </w:p>
    <w:p w14:paraId="73842537" w14:textId="77777777" w:rsidR="002F048A" w:rsidRPr="002F048A" w:rsidRDefault="002F048A" w:rsidP="002F048A">
      <w:pPr>
        <w:pStyle w:val="ListParagraph"/>
        <w:widowControl w:val="0"/>
        <w:spacing w:line="286" w:lineRule="auto"/>
        <w:ind w:left="1440"/>
        <w:rPr>
          <w:rFonts w:ascii="Helvetica" w:hAnsi="Helvetica" w:cs="Helvetica"/>
          <w:sz w:val="22"/>
          <w:szCs w:val="22"/>
          <w14:ligatures w14:val="none"/>
        </w:rPr>
      </w:pPr>
    </w:p>
    <w:p w14:paraId="5E7131C9" w14:textId="77777777" w:rsidR="00F007E5" w:rsidRDefault="002F048A" w:rsidP="00F007E5">
      <w:pPr>
        <w:pStyle w:val="ListParagraph"/>
        <w:widowControl w:val="0"/>
        <w:numPr>
          <w:ilvl w:val="0"/>
          <w:numId w:val="3"/>
        </w:numPr>
        <w:spacing w:before="120" w:line="286" w:lineRule="auto"/>
        <w:rPr>
          <w:rFonts w:ascii="Helvetica" w:hAnsi="Helvetica" w:cs="Helvetica"/>
          <w:sz w:val="22"/>
          <w:szCs w:val="22"/>
          <w14:ligatures w14:val="none"/>
        </w:rPr>
      </w:pPr>
      <w:r w:rsidRPr="002F048A">
        <w:rPr>
          <w:rFonts w:ascii="Helvetica" w:hAnsi="Helvetica" w:cs="Helvetica"/>
          <w:sz w:val="22"/>
          <w:szCs w:val="22"/>
          <w14:ligatures w14:val="none"/>
        </w:rPr>
        <w:t>For hardware purchases, y</w:t>
      </w:r>
      <w:r w:rsidR="0018651A" w:rsidRPr="002F048A">
        <w:rPr>
          <w:rFonts w:ascii="Helvetica" w:hAnsi="Helvetica" w:cs="Helvetica"/>
          <w:sz w:val="22"/>
          <w:szCs w:val="22"/>
          <w14:ligatures w14:val="none"/>
        </w:rPr>
        <w:t xml:space="preserve">ou must review the features of </w:t>
      </w:r>
      <w:r w:rsidRPr="002F048A">
        <w:rPr>
          <w:rFonts w:ascii="Helvetica" w:hAnsi="Helvetica" w:cs="Helvetica"/>
          <w:sz w:val="22"/>
          <w:szCs w:val="22"/>
          <w14:ligatures w14:val="none"/>
        </w:rPr>
        <w:t>the</w:t>
      </w:r>
      <w:r w:rsidR="0018651A" w:rsidRPr="002F048A">
        <w:rPr>
          <w:rFonts w:ascii="Helvetica" w:hAnsi="Helvetica" w:cs="Helvetica"/>
          <w:sz w:val="22"/>
          <w:szCs w:val="22"/>
          <w14:ligatures w14:val="none"/>
        </w:rPr>
        <w:t xml:space="preserve"> device to determine if there is embedded software. </w:t>
      </w:r>
      <w:r w:rsidR="00BE1213" w:rsidRPr="002F048A">
        <w:rPr>
          <w:rFonts w:ascii="Helvetica" w:hAnsi="Helvetica" w:cs="Helvetica"/>
          <w:sz w:val="22"/>
          <w:szCs w:val="22"/>
          <w14:ligatures w14:val="none"/>
        </w:rPr>
        <w:t xml:space="preserve">You can go to the manufacturer’s website or do an online search to review the End User License Agreement (EULA)/Terms and Conditions. </w:t>
      </w:r>
      <w:r w:rsidR="0018651A" w:rsidRPr="002F048A">
        <w:rPr>
          <w:rFonts w:ascii="Helvetica" w:hAnsi="Helvetica" w:cs="Helvetica"/>
          <w:sz w:val="22"/>
          <w:szCs w:val="22"/>
          <w14:ligatures w14:val="none"/>
        </w:rPr>
        <w:t>Consult with your vendor or manufacturer if you need assistance in verifying this.</w:t>
      </w:r>
    </w:p>
    <w:p w14:paraId="576A3CE3" w14:textId="51500E3E" w:rsidR="00F007E5" w:rsidRPr="00D9112F" w:rsidRDefault="00F007E5" w:rsidP="00F007E5">
      <w:pPr>
        <w:pStyle w:val="ListParagraph"/>
        <w:widowControl w:val="0"/>
        <w:numPr>
          <w:ilvl w:val="1"/>
          <w:numId w:val="3"/>
        </w:numPr>
        <w:spacing w:before="120" w:line="286" w:lineRule="auto"/>
        <w:rPr>
          <w:rFonts w:ascii="Helvetica" w:hAnsi="Helvetica" w:cs="Helvetica"/>
          <w:sz w:val="22"/>
          <w:szCs w:val="22"/>
          <w14:ligatures w14:val="none"/>
        </w:rPr>
      </w:pPr>
      <w:r w:rsidRPr="00D9112F">
        <w:rPr>
          <w:rFonts w:ascii="Helvetica" w:hAnsi="Helvetica" w:cs="Helvetica"/>
          <w:sz w:val="22"/>
          <w:szCs w:val="22"/>
          <w14:ligatures w14:val="none"/>
        </w:rPr>
        <w:t>If a product runs o</w:t>
      </w:r>
      <w:r w:rsidR="00B92C15" w:rsidRPr="00D9112F">
        <w:rPr>
          <w:rFonts w:ascii="Helvetica" w:hAnsi="Helvetica" w:cs="Helvetica"/>
          <w:sz w:val="22"/>
          <w:szCs w:val="22"/>
          <w14:ligatures w14:val="none"/>
        </w:rPr>
        <w:t>n</w:t>
      </w:r>
      <w:r w:rsidRPr="00D9112F">
        <w:rPr>
          <w:rFonts w:ascii="Helvetica" w:hAnsi="Helvetica" w:cs="Helvetica"/>
          <w:sz w:val="22"/>
          <w:szCs w:val="22"/>
          <w14:ligatures w14:val="none"/>
        </w:rPr>
        <w:t xml:space="preserve"> firmware and it does not have a EULA, then a written confirmation must be provided from the licensor, acknowledging that any firmware automatically transfers to another user if they were to take possession of the equipment.</w:t>
      </w:r>
    </w:p>
    <w:p w14:paraId="5D36D1CE" w14:textId="77777777" w:rsidR="00F007E5" w:rsidRPr="00F007E5" w:rsidRDefault="00F007E5" w:rsidP="00F007E5">
      <w:pPr>
        <w:pStyle w:val="ListParagraph"/>
        <w:widowControl w:val="0"/>
        <w:spacing w:before="120" w:line="286" w:lineRule="auto"/>
        <w:ind w:left="1440"/>
        <w:rPr>
          <w:rFonts w:ascii="Helvetica" w:hAnsi="Helvetica" w:cs="Helvetica"/>
          <w:sz w:val="22"/>
          <w:szCs w:val="22"/>
          <w14:ligatures w14:val="none"/>
        </w:rPr>
      </w:pPr>
    </w:p>
    <w:p w14:paraId="30CE9F3E" w14:textId="3D73E18C" w:rsidR="0018651A" w:rsidRDefault="0018651A" w:rsidP="002F048A">
      <w:pPr>
        <w:pStyle w:val="ListParagraph"/>
        <w:widowControl w:val="0"/>
        <w:numPr>
          <w:ilvl w:val="0"/>
          <w:numId w:val="3"/>
        </w:numPr>
        <w:spacing w:before="120" w:line="286" w:lineRule="auto"/>
        <w:rPr>
          <w:rFonts w:ascii="Helvetica" w:hAnsi="Helvetica" w:cs="Helvetica"/>
          <w:sz w:val="22"/>
          <w:szCs w:val="22"/>
          <w14:ligatures w14:val="none"/>
        </w:rPr>
      </w:pPr>
      <w:r w:rsidRPr="002F048A">
        <w:rPr>
          <w:rFonts w:ascii="Helvetica" w:hAnsi="Helvetica" w:cs="Helvetica"/>
          <w:sz w:val="22"/>
          <w:szCs w:val="22"/>
          <w14:ligatures w14:val="none"/>
        </w:rPr>
        <w:t>Software licenses are capitally eligible if they are valid with the initial purchase for at least 5 years from disbursement of City capital funds. Software subscriptions with ongoing monthly or annual fees are not eligible, thus they should not be included on the checklist.</w:t>
      </w:r>
    </w:p>
    <w:p w14:paraId="7A271F45" w14:textId="77777777" w:rsidR="002F048A" w:rsidRPr="002F048A" w:rsidRDefault="002F048A" w:rsidP="002F048A">
      <w:pPr>
        <w:pStyle w:val="ListParagraph"/>
        <w:widowControl w:val="0"/>
        <w:spacing w:before="120" w:line="286" w:lineRule="auto"/>
        <w:rPr>
          <w:rFonts w:ascii="Helvetica" w:hAnsi="Helvetica" w:cs="Helvetica"/>
          <w:sz w:val="22"/>
          <w:szCs w:val="22"/>
          <w14:ligatures w14:val="none"/>
        </w:rPr>
      </w:pPr>
    </w:p>
    <w:p w14:paraId="39DB2BF6" w14:textId="77777777" w:rsidR="0018651A" w:rsidRDefault="0018651A" w:rsidP="002F048A">
      <w:pPr>
        <w:pStyle w:val="ListParagraph"/>
        <w:widowControl w:val="0"/>
        <w:numPr>
          <w:ilvl w:val="0"/>
          <w:numId w:val="3"/>
        </w:numPr>
        <w:spacing w:line="286" w:lineRule="auto"/>
        <w:rPr>
          <w:rFonts w:ascii="Helvetica" w:hAnsi="Helvetica" w:cs="Helvetica"/>
          <w:sz w:val="22"/>
          <w:szCs w:val="22"/>
          <w14:ligatures w14:val="none"/>
        </w:rPr>
      </w:pPr>
      <w:r w:rsidRPr="002F048A">
        <w:rPr>
          <w:rFonts w:ascii="Helvetica" w:hAnsi="Helvetica" w:cs="Helvetica"/>
          <w:sz w:val="22"/>
          <w:szCs w:val="22"/>
          <w14:ligatures w14:val="none"/>
        </w:rPr>
        <w:t xml:space="preserve">If a license is transferable, then do </w:t>
      </w:r>
      <w:r w:rsidRPr="002F048A">
        <w:rPr>
          <w:rFonts w:ascii="Helvetica" w:hAnsi="Helvetica" w:cs="Helvetica"/>
          <w:sz w:val="22"/>
          <w:szCs w:val="22"/>
          <w:u w:val="single"/>
          <w14:ligatures w14:val="none"/>
        </w:rPr>
        <w:t>not</w:t>
      </w:r>
      <w:r w:rsidRPr="002F048A">
        <w:rPr>
          <w:rFonts w:ascii="Helvetica" w:hAnsi="Helvetica" w:cs="Helvetica"/>
          <w:sz w:val="22"/>
          <w:szCs w:val="22"/>
          <w14:ligatures w14:val="none"/>
        </w:rPr>
        <w:t xml:space="preserve"> answer Questions 4 &amp; 5 on the checklist.</w:t>
      </w:r>
    </w:p>
    <w:p w14:paraId="5DF22BEC" w14:textId="77777777" w:rsidR="002F048A" w:rsidRPr="002F048A" w:rsidRDefault="002F048A" w:rsidP="002F048A">
      <w:pPr>
        <w:pStyle w:val="ListParagraph"/>
        <w:widowControl w:val="0"/>
        <w:spacing w:line="286" w:lineRule="auto"/>
        <w:rPr>
          <w:rFonts w:ascii="Helvetica" w:hAnsi="Helvetica" w:cs="Helvetica"/>
          <w:sz w:val="22"/>
          <w:szCs w:val="22"/>
          <w14:ligatures w14:val="none"/>
        </w:rPr>
      </w:pPr>
    </w:p>
    <w:p w14:paraId="28323DB5" w14:textId="32770DDA" w:rsidR="0018651A" w:rsidRDefault="0018651A" w:rsidP="002F048A">
      <w:pPr>
        <w:pStyle w:val="ListParagraph"/>
        <w:widowControl w:val="0"/>
        <w:numPr>
          <w:ilvl w:val="0"/>
          <w:numId w:val="3"/>
        </w:numPr>
        <w:spacing w:line="286" w:lineRule="auto"/>
        <w:rPr>
          <w:rFonts w:ascii="Helvetica" w:hAnsi="Helvetica" w:cs="Helvetica"/>
          <w:sz w:val="22"/>
          <w:szCs w:val="22"/>
          <w14:ligatures w14:val="none"/>
        </w:rPr>
      </w:pPr>
      <w:r w:rsidRPr="002F048A">
        <w:rPr>
          <w:rFonts w:ascii="Helvetica" w:hAnsi="Helvetica" w:cs="Helvetica"/>
          <w:sz w:val="22"/>
          <w:szCs w:val="22"/>
          <w14:ligatures w14:val="none"/>
        </w:rPr>
        <w:t>If the EULA dictates that a software license is no</w:t>
      </w:r>
      <w:r w:rsidR="00BE1213" w:rsidRPr="002F048A">
        <w:rPr>
          <w:rFonts w:ascii="Helvetica" w:hAnsi="Helvetica" w:cs="Helvetica"/>
          <w:sz w:val="22"/>
          <w:szCs w:val="22"/>
          <w14:ligatures w14:val="none"/>
        </w:rPr>
        <w:t>n-</w:t>
      </w:r>
      <w:r w:rsidRPr="002F048A">
        <w:rPr>
          <w:rFonts w:ascii="Helvetica" w:hAnsi="Helvetica" w:cs="Helvetica"/>
          <w:sz w:val="22"/>
          <w:szCs w:val="22"/>
          <w14:ligatures w14:val="none"/>
        </w:rPr>
        <w:t xml:space="preserve">transferable, then the licensor must complete the </w:t>
      </w:r>
      <w:r w:rsidRPr="002F048A">
        <w:rPr>
          <w:rFonts w:ascii="Helvetica" w:hAnsi="Helvetica" w:cs="Helvetica"/>
          <w:b/>
          <w:bCs/>
          <w:sz w:val="22"/>
          <w:szCs w:val="22"/>
          <w14:ligatures w14:val="none"/>
        </w:rPr>
        <w:t>Preliminary Approval Letter of the Software License Agreement</w:t>
      </w:r>
      <w:r w:rsidRPr="002F048A">
        <w:rPr>
          <w:rFonts w:ascii="Helvetica" w:hAnsi="Helvetica" w:cs="Helvetica"/>
          <w:sz w:val="22"/>
          <w:szCs w:val="22"/>
          <w14:ligatures w14:val="none"/>
        </w:rPr>
        <w:t>. This letter acknowledges that the licensor will execute the Software License Agreement, upon registration of the funding agreement, which grants the City a transferable license at no additional cost, if the City re-possesses the equipment, due to an Event of Default under the terms of the funding agreement. This letter is not required for any transferable software licenses.</w:t>
      </w:r>
    </w:p>
    <w:p w14:paraId="0632487B" w14:textId="77777777" w:rsidR="00A46A31" w:rsidRPr="00A46A31" w:rsidRDefault="00A46A31" w:rsidP="00A46A31">
      <w:pPr>
        <w:pStyle w:val="ListParagraph"/>
        <w:rPr>
          <w:rFonts w:ascii="Helvetica" w:hAnsi="Helvetica" w:cs="Helvetica"/>
          <w:sz w:val="22"/>
          <w:szCs w:val="22"/>
          <w14:ligatures w14:val="none"/>
        </w:rPr>
      </w:pPr>
    </w:p>
    <w:p w14:paraId="2AFEA5FB" w14:textId="1D514695" w:rsidR="00A46A31" w:rsidRPr="002F048A" w:rsidRDefault="009A50E0" w:rsidP="002F048A">
      <w:pPr>
        <w:pStyle w:val="ListParagraph"/>
        <w:widowControl w:val="0"/>
        <w:numPr>
          <w:ilvl w:val="0"/>
          <w:numId w:val="3"/>
        </w:numPr>
        <w:spacing w:line="286" w:lineRule="auto"/>
        <w:rPr>
          <w:rFonts w:ascii="Helvetica" w:hAnsi="Helvetica" w:cs="Helvetica"/>
          <w:sz w:val="22"/>
          <w:szCs w:val="22"/>
          <w14:ligatures w14:val="none"/>
        </w:rPr>
      </w:pPr>
      <w:r>
        <w:rPr>
          <w:rFonts w:ascii="Helvetica" w:hAnsi="Helvetica" w:cs="Helvetica"/>
          <w:sz w:val="22"/>
          <w:szCs w:val="22"/>
          <w14:ligatures w14:val="none"/>
        </w:rPr>
        <w:t>For any non-transferable licenses, i</w:t>
      </w:r>
      <w:r w:rsidR="00A46A31">
        <w:rPr>
          <w:rFonts w:ascii="Helvetica" w:hAnsi="Helvetica" w:cs="Helvetica"/>
          <w:sz w:val="22"/>
          <w:szCs w:val="22"/>
          <w14:ligatures w14:val="none"/>
        </w:rPr>
        <w:t xml:space="preserve">f the licensor refuses to sign the </w:t>
      </w:r>
      <w:r w:rsidR="00A46A31" w:rsidRPr="002F048A">
        <w:rPr>
          <w:rFonts w:ascii="Helvetica" w:hAnsi="Helvetica" w:cs="Helvetica"/>
          <w:b/>
          <w:bCs/>
          <w:sz w:val="22"/>
          <w:szCs w:val="22"/>
          <w14:ligatures w14:val="none"/>
        </w:rPr>
        <w:t>Preliminary Approval Letter of the Software License Agreement</w:t>
      </w:r>
      <w:r w:rsidR="00A46A31">
        <w:rPr>
          <w:rFonts w:ascii="Helvetica" w:hAnsi="Helvetica" w:cs="Helvetica"/>
          <w:b/>
          <w:bCs/>
          <w:sz w:val="22"/>
          <w:szCs w:val="22"/>
          <w14:ligatures w14:val="none"/>
        </w:rPr>
        <w:t xml:space="preserve"> </w:t>
      </w:r>
      <w:r w:rsidR="00A46A31">
        <w:rPr>
          <w:rFonts w:ascii="Helvetica" w:hAnsi="Helvetica" w:cs="Helvetica"/>
          <w:sz w:val="22"/>
          <w:szCs w:val="22"/>
          <w14:ligatures w14:val="none"/>
        </w:rPr>
        <w:t>or makes substantive changes to the letter template, then any affected products from the licensor will not be eligible for reimbursement.</w:t>
      </w:r>
    </w:p>
    <w:p w14:paraId="2A760B38" w14:textId="77777777" w:rsidR="0018651A" w:rsidRDefault="0018651A" w:rsidP="002F048A">
      <w:pPr>
        <w:widowControl w:val="0"/>
        <w:rPr>
          <w14:ligatures w14:val="none"/>
        </w:rPr>
      </w:pPr>
      <w:r>
        <w:rPr>
          <w14:ligatures w14:val="none"/>
        </w:rPr>
        <w:t> </w:t>
      </w:r>
    </w:p>
    <w:p w14:paraId="2D471C05" w14:textId="77777777" w:rsidR="00CA0ED0" w:rsidRDefault="00CA0ED0"/>
    <w:p w14:paraId="301FA5B6" w14:textId="77777777" w:rsidR="00F47F42" w:rsidRDefault="00F47F42"/>
    <w:sectPr w:rsidR="00F4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CFF"/>
    <w:multiLevelType w:val="hybridMultilevel"/>
    <w:tmpl w:val="EC889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E2C01"/>
    <w:multiLevelType w:val="hybridMultilevel"/>
    <w:tmpl w:val="1BC60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D7F8B"/>
    <w:multiLevelType w:val="hybridMultilevel"/>
    <w:tmpl w:val="3CB8BFB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4531970">
    <w:abstractNumId w:val="1"/>
  </w:num>
  <w:num w:numId="2" w16cid:durableId="2102215994">
    <w:abstractNumId w:val="0"/>
  </w:num>
  <w:num w:numId="3" w16cid:durableId="119160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42"/>
    <w:rsid w:val="00087E78"/>
    <w:rsid w:val="00145E1F"/>
    <w:rsid w:val="0018651A"/>
    <w:rsid w:val="002F048A"/>
    <w:rsid w:val="00400A36"/>
    <w:rsid w:val="007B3C24"/>
    <w:rsid w:val="007D0CE8"/>
    <w:rsid w:val="008310BA"/>
    <w:rsid w:val="009A50E0"/>
    <w:rsid w:val="00A46A31"/>
    <w:rsid w:val="00B85414"/>
    <w:rsid w:val="00B92C15"/>
    <w:rsid w:val="00BE1213"/>
    <w:rsid w:val="00BE2D98"/>
    <w:rsid w:val="00C3207C"/>
    <w:rsid w:val="00CA0ED0"/>
    <w:rsid w:val="00D9112F"/>
    <w:rsid w:val="00EB5725"/>
    <w:rsid w:val="00F007E5"/>
    <w:rsid w:val="00F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BD0B"/>
  <w15:chartTrackingRefBased/>
  <w15:docId w15:val="{A75CE563-0D5C-466A-9167-1CBE5551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51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 DDC</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Zavulunova, Angela</cp:lastModifiedBy>
  <cp:revision>2</cp:revision>
  <dcterms:created xsi:type="dcterms:W3CDTF">2024-07-12T17:10:00Z</dcterms:created>
  <dcterms:modified xsi:type="dcterms:W3CDTF">2024-07-12T17:10:00Z</dcterms:modified>
</cp:coreProperties>
</file>